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71" w:rsidRDefault="00E63E71"/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1859"/>
        <w:gridCol w:w="8001"/>
        <w:gridCol w:w="2495"/>
      </w:tblGrid>
      <w:tr w:rsidR="00E2013A" w:rsidRPr="00E2013A" w:rsidTr="00E2013A">
        <w:trPr>
          <w:trHeight w:val="3405"/>
        </w:trPr>
        <w:tc>
          <w:tcPr>
            <w:tcW w:w="1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0" w:name="RANGE!A1:I192"/>
            <w:r w:rsidRPr="00E2013A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ALLEGATO 1) SEZIONE "SOCIETA' TRASPARENTE"/"AMMINISTRAZIONE TRASPARENTE" - ELENCO DEGLI OBBLIGHI DI PUBBLICAZIONE </w:t>
            </w:r>
            <w:r w:rsidRPr="00E2013A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  <w:t>Ai sensi dell'art. 9 del d.lgs. n. 33/2013, al fine di evitare duplicazioni, l'obbligo di pubblicazione è assolto anche mediante collegamento ipertestuale che, tramite link, colleghi la sezione "Amministrazione/società trasparente" con altra sezione del sito o con siti di altre amministrazioni/enti in cui sono pubblicati dati, informazioni e documenti dello stesso tipo e formato di quelli previsti dal d. lgs. 33/2013</w:t>
            </w:r>
            <w:bookmarkEnd w:id="0"/>
          </w:p>
        </w:tc>
      </w:tr>
      <w:tr w:rsidR="00E2013A" w:rsidRPr="00E2013A" w:rsidTr="00E2013A">
        <w:trPr>
          <w:trHeight w:val="18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Denominazione sotto-sezione livello 1 (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Macrofamiglie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Denominazione sotto-sezione 2 livello (Tipologie di dati)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Contenuti dell'obbligo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E2013A" w:rsidRPr="00E2013A" w:rsidTr="00E2013A">
        <w:trPr>
          <w:trHeight w:val="213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Disposizioni generali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Piano triennale per la prevenzione della corruzione e della trasparenza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Piano triennale per la prevenzione della corruzione e della trasparenza e suoi allegati, oppure le misure integrative di prevenzione della corruzione individuate ai sensi dell’articolo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1,comma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2-bis della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legge n. 190 del 2012, (MOG 231) (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alla sotto-sezione Altri contenuti/Anticorruzione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 generali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Riferimenti normativi con i relativi 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alle norme di legge statale pubblicate nella banca dati "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Normattiva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" che regolano l'istituzione, l'organizzazione e l'attività delle società e degli 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Direttive, atti di indirizzo, circolari, programmi, istruzioni e ogni atto, anche adottato dall'amministrazione controllante, che dispone in generale sulla organizzazione, sulle funzioni, sugli obiettivi, sui procedimenti delle società e degli enti (es.  atto costitutivo, statuto, atti di indirizzo dell'amministrazione controllante etc.)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Codice di condotta e codice etico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9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Organizzazione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Titolari di incarichi politici, di amministrazione, di direzione o di governo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Organi di amministrazione e gestione, con l'indicazione delle rispettive competenze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Atto di nomina con l'indicazione della durata dell'incarico o del mandato elettivo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Curriculum vitae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75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6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1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2) copia dell'ultima dichiarazione dei redditi soggetti all'imposta sui redditi delle persone fisiche o del quadro riepilogativo [Per il soggetto, il coniuge non separato e i parenti entro il secondo grado, ove gli stessi vi consentano (NB: dando eventualmente evidenza del mancato consenso)] (NB: è necessario limitare, con appositi accorgimenti a cura dell'interessato o della società/ente, la pubblicazione dei dati sensibili)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Atto di nomina, con l'indicazione della durata dell'incarico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Curriculum vitae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4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2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1) copie delle dichiarazioni dei redditi  o dei quadri riepilogativi riferiti al periodo dell'incarico;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2) copia della dichiarazione dei redditi o quadro riepilogativo  successivi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 società/ente, la pubblicazione dei dati sensibili)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5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Sanzioni per mancata comunicazione dei dati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Provvedimenti sanzionatori a carico del responsabile della mancata o incompleta comunicazione dei dati di cui all'articolo 14, concernenti la situazione patrimoniale complessiva del titolare dell'incarico al momento dell'assunzione della carica, la titolarità di imprese, le partecipazioni azionarie proprie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tutti i compensi cui dà diritto l'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assuzione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Articolazione degli uffici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Articolazione delle direzioni/uffici e relative competenze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Illustrazione in forma semplificata, ai fini della piena accessibilità e comprensibilità dei dati, dell'organizzazione della società o dell'ente, mediante l'organigramma o analoghe rappresentazioni grafiche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5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Nomi dei dirigenti responsabili dei singoli uffici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Telefono e posta elettronica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Elenco completo dei numeri di telefono e delle caselle di posta elettronica istituzionali e delle caselle di posta elettronica certificata dedicate, cui il cittadino possa rivolgersi per qualsiasi richiesta inerente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compiti istituzionali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Consulenti e collaboratori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Titolari di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incarichi  di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collaborazione o consulenza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ogni incarico di collaborazione, di consulenza o incarico professionale, inclusi quelli arbitrali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estremi dell'atto di conferimento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4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oggetto della prestazione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5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3) ragione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7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4) durata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5) curriculum vitae del soggetto incaricato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6) compensi comunque denominati, relativi al rapporto di consulenza o di collaborazione, nonché agli incarichi professionali, inclusi quelli arbitrali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7) tipo di procedura seguita per la selezione del contraente e il numero di partecipanti alla procedura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Personale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Incarico di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Direttore generale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 titolare di incarico: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Sintesi dei dati del contratto (quali data della stipula, durata, oggetto dell'incarico)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Curriculum vitae, redatto in conformità al vigente modello europeo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6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2) copia dell'ultima dichiarazione dei redditi o quadro riepilogativo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società/ente, la pubblicazione dei dati sensibili)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Ammontare complessivo degli emolumenti percepiti a carico della finanza pubblica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4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Provvedimenti sanzionatori a carico del responsabile della mancata o incompleta comunicazione dei dati di cui all'articolo 14, concernenti la situazione patrimoniale complessiva del titolare dell'incarico al momento dell'assunzione della carica, la titolarità di imprese, le partecipazioni azionarie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proprie,  tutti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i compensi cui dà diritto l'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assuzione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della carica,.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Titolari di incarichi dirigenziali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 titolare di incarico: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Sintesi dei dati del contratto (quali data della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stipula,  durata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, oggetto dell'incarico)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Curriculum vitae, redatto in conformità al vigente modello europeo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Ammontare complessivo degli emolumenti percepiti a carico della finanza pubblica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7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Dirigenti cessati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Atto di nomina o di proclamazione, con l'indicazione della durata dell'incarico o del mandato elettivo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Curriculum vitae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Compensi di qualsiasi natura connessi all'assunzione della carica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Importi di viaggi di servizio e missioni pagati con fondi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Altri eventuali incarichi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  oneri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 carico della finanza pubblica e indicazione dei compensi spettanti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9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copie delle dichiarazioni dei redditi o del quadro riepilogativo riferiti al periodo dell'incarico (SOLO PER DIRETTORE GENERALE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2) copia della dichiarazione dei redditi o del quadro riepilogativo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società/ente, la pubblicazione dei dati sensibili)  (SOLO PER DIRETTORE GENERALE)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3) dichiarazione concernente le variazioni della situazione patrimoniale intervenute dopo l'ultima attestazione [Per il soggetto, il coniuge non separato e i parenti entro il secondo grado, ove gli stessi vi consentano (NB: dando eventualmente evidenza del mancato consenso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)]</w:t>
            </w:r>
            <w:r w:rsidRPr="00E2013A">
              <w:rPr>
                <w:rFonts w:ascii="Times New Roman" w:eastAsia="Times New Roman" w:hAnsi="Times New Roman" w:cs="Times New Roman"/>
                <w:color w:val="00CCFF"/>
                <w:lang w:eastAsia="it-IT"/>
              </w:rPr>
              <w:t xml:space="preserve">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SOLO PER DIRETTORE GENERALE)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Dotazione organica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br/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Numero del personale a tempo indeterminato e determinato in servizio.</w:t>
            </w:r>
            <w:r w:rsidRPr="00E2013A">
              <w:rPr>
                <w:rFonts w:ascii="Times New Roman" w:eastAsia="Times New Roman" w:hAnsi="Times New Roman" w:cs="Times New Roman"/>
                <w:color w:val="00CCFF"/>
                <w:lang w:eastAsia="it-IT"/>
              </w:rPr>
              <w:t xml:space="preserve"> </w:t>
            </w:r>
            <w:r w:rsidRPr="00E2013A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Costo complessivo del personale a tempo indeterminato in servizio 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Costo complessivo del personale a tempo determinato in servizio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5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Tassi di assenza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Tassi di assenza del personale distinti per uffici di livello dirigenziale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Incarichi conferiti e autorizzati ai dipendenti (dirigenti e non dirigenti)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Elenco degli incarichi conferiti o autorizzati a ciascun dipendente (dirigente e non dirigente), con l'indicazione dell'oggetto, della durata e del compenso spettante per ogni incarico.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Contrattazione collettiva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Contratto nazionale di categoria di riferimento del personale della società o dell'ente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5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Contrattazione integrativa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Contratti integrativi stipulati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Specifiche informazioni sui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  della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contrattazione integrativa</w:t>
            </w:r>
            <w:r w:rsidRPr="00E2013A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br/>
              <w:t>Selezione del personale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Reclutamento del personale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Provvedimenti/regolamenti/atti generali che stabiliscono criteri e modalità per il reclutamento del personale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ciascuna procedura selettiva: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Avviso di selezione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Criteri di selezione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Esito della selezione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2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Performance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Ammontare complessivo dei premi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Criteri di distribuzione dei premi al personale e ammontare aggregato dei premi effettivamente distribuiti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0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Enti controllati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Società partecipate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Elenco delle società di cui la società/ente in controllo pubblico detiene direttamente quote di partecipazione anche minoritaria, con l'indicazione dell'entità, delle funzioni attribuite e delle attività svolte in loro favore o delle attività di servizio pubblico affidate, ad esclusione delle società, partecipate, da società/ente in controllo pubblico, con azioni quotate in mercati regolamentati italiani o di altri paesi dell'Unione europea, e loro controllate.  (art. 22, c. 6, d.lgs. n. 33/2013)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ciascuna delle società: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 ragione sociale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misura dell'eventuale partecipazione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3) durata dell'impegno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4)  onere complessivo a qualsiasi titolo gravante per l'anno sul bilancio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5) numero dei rappresentanti della società/ente negli organi di governo e trattamento economico complessivo a ciascuno di essi spettante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6) risultati di bilancio degli ultimi tre esercizi finanziari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7) incarichi di amministratore della società e relativo trattamento economico complessivo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dell'incarico (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 (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ink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Collegamento con i siti istituzionali delle società partecipate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 pubbliche, previsti dal decreto legislativo adottato ai sensi dell'articolo 18 della legge 7 agosto 2015, n. 124 (art.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20 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d.lgs</w:t>
            </w:r>
            <w:proofErr w:type="spellEnd"/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175/2016)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Enti di diritto privato controllati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Elenco degli enti di diritto privato, comunque denominati, in controllo. con l'indicazione delle funzioni attribuite e delle attività svolte in favore dell'amministrazione o delle attività di servizio pubblico affidate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ciascuno degli enti: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 ragione sociale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misura dell'eventuale partecipazione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3) durata dell'impegno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4)  onere complessivo a qualsiasi titolo gravante per l'anno sul bilancio della società/ente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5) numero dei rappresentanti della società/ente negli organi di governo e trattamento economico complessivo a ciascuno di essi spettante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6) risultati di bilancio degli ultimi tre esercizi finanziari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7) incarichi di amministratore dell'ente e relativo trattamento economico complessivo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Dichiarazione sulla insussistenza di una delle cause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inconferibilità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dell'incarico (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Dichiarazione sulla insussistenza di una delle cause di incompatibilità al conferimento dell'incarico (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it-IT"/>
              </w:rPr>
              <w:t>ink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 al sito dell'ente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Collegamento con i siti istituzionali degli enti di diritto privato controllati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Rappresentazione grafica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Una o più rappresentazioni grafiche che evidenziano i rapporti tra società/ente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  le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società partecipate, gli enti di diritto privato controllati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5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Attività e procedimenti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Tipologie di procedimento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Per ciascuna tipologia di procedimento: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breve descrizione del procedimento con indicazione di tutti i riferimenti normativi utili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 unità organizzative responsabili dell'istruttoria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7) procedimenti per i quali il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provvedimento  può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essere sostituito da una dichiarazione dell'interessato ovvero il procedimento può concludersi con il silenzio-assenso dell'amministrazione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9)  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di accesso al servizio on line, ove sia già disponibile in rete, o tempi previsti per la sua attivazione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4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i codici identificativi del pagamento da indicare obbligatoriamente per il versamento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11) nome del soggetto a cui è attribuito, in caso di inerzia, il potere sostitutivo,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modalità per attivare tale potere, con indicazione dei recapiti telefonici e delle caselle di posta elettronica istituzionale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i procedimenti ad istanza di parte: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8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Bandi di gara e contratti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Informazioni sulle singole procedure in formato tabellare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Codice Identificativo Gara (CIG)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40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 delle amministrazioni aggiudicatrici e degli enti aggiudicatori distintamente per ogni procedura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Programma biennale degli acquisti di beni e servizi, programma triennale dei lavori pubblici e relativi aggiornamenti annuali (se tenuti alla programmazione ai sensi del Codice dei contratti)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45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ciascuna procedura: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Avvisi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preinformazione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- Avvisi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preinformazione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(art. 70, c. 1, 2 e 3,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Bandi ed avvisi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preinformazioni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(art. 141,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Delibera a contrarre o atto equivalente (per tutte le procedure)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22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Avvisi e bandi -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(art. 19, c. 1,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di indagini di mercato (art. 36, c. 7, 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 e Linee guida ANAC);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di formazione elenco operatori economici e pubblicazione elenco (art. 36, c. 7,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 e Linee guida ANAC);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Bandi ed avvisi (art. 36, c. 9,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Bandi ed avvisi  (art. 73, c. 1, e 4,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Bandi ed avvisi (art. 127, c. 1,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Avviso periodico indicativo (art. 127, c. 2,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relativo all’esito della procedura;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Pubblicazione a livello nazionale di bandi e avvisi;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Bando di concorso (art. 153, c. 1,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di aggiudicazione (art. 153, c. 2,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Bando di concessione, invito a presentare offerta, documenti di gara (art. 171, c. 1 e 5,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in merito alla modifica dell’ordine di importanza dei criteri, Bando di concessione  (art. 173, c. 3,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Bando di gara (art. 183, c. 2,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Avviso costituzione del privilegio (art. 186, c. 3,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Bando di gara (art. 188, c. 3,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Avviso sui risultati della procedura di affidamento - Avviso sui risultati della procedura di affidamento con indicazione dei soggetti invitati (art. 36, c. 2,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Bando di concorso e avviso sui risultati del concorso (art. 141,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Avvisi relativi l’esito della procedura, possono essere raggruppati su base trimestrale (art. 142, c. 3,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Elenchi dei verbali delle commissioni di gara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01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Avvisi sistema di qualificazione - Avviso sull’esistenza di un sistema di qualificazione, di cui all’Allegato XIV, parte II, lettera H; Bandi, avviso periodico indicativo; avviso sull’esistenza di un sistema di qualificazione; Avviso di aggiudicazione (art. 140, c. 1, 3 e 4,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7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Affidamenti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Gli atti relativi agli affidamenti diretti di lavori, servizi e forniture di somma urgenza e di protezione civile, con specifica dell'affidatario, delle modalità della scelta e delle motivazioni che non hanno consentito il ricorso alle procedure ordinarie (art. 163, c. 10,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tutti gli atti connessi agli affidamenti in house in formato open data di appalti pubblici e contratti di concessione tra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enti  (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art. 192 c. 3,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21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Informazioni ulteriori - Contributi e resoconti degli incontri con portatori di interessi unitamente ai progetti di fattibilità di grandi opere e ai documenti predisposti dalla stazione appaltante (art. 22, c. 1,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50/2016); Informazioni ulteriori, complementari o aggiuntive rispetto a quelle previste dal Codice; Elenco ufficiali operatori economici (art. 90, c. 10,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dlgs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n. 50/2016)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Provvedimenti di esclusione e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amminssione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(entro 2 giorni dalla loro adozione)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Composizione della commissione giudicatrice e i curricula dei suoi componenti.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Testo integrale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  tutti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i contratti di acquisto di beni e di servizi di importo unitario stimato superiore a  1  milione di euro in esecuzione del programma biennale e suoi aggiornamenti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2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Resoconti della gestione finanziaria dei contratti al termine della loro esecuzione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4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Sovvenzioni, contributi, sussidi, vantaggi economici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Criteri e modalità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 con i quali sono determinati i criteri e le modalità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l'Ente non eroga alcuna sovvenzione, contributo, sussidio, vantaggio economico</w:t>
            </w:r>
          </w:p>
        </w:tc>
      </w:tr>
      <w:tr w:rsidR="00E2013A" w:rsidRPr="00E2013A" w:rsidTr="00E2013A">
        <w:trPr>
          <w:trHeight w:val="10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 di concessione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Atti di concessione di sovvenzioni, contributi, sussidi ed ausili finanziari alle imprese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  comunque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di  vantaggi economici di qualunque genere a persone ed enti pubblici e privati di importo superiore a mille euro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Per ciascun atto: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5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1) nome dell'impresa o dell'ente e i rispettivi dati fiscali o il nome di altro soggetto beneficiario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 importo del vantaggio economico corrisposto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3) norma o titolo a base dell'attribuzione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4) ufficio e funzionario o dirigente responsabile del relativo procedimento amministrativo cui è attribuita la responsabilità dell'istruttoria o della concessione della sovvenzione/contributo/sussidio/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vantagigo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economico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5) modalità seguita per l'individuazione del beneficiario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6) 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al progetto selezionato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7) link al curriculum vitae del soggetto incaricato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12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97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Bilanci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Bilancio </w:t>
            </w:r>
          </w:p>
        </w:tc>
        <w:tc>
          <w:tcPr>
            <w:tcW w:w="8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Bilancio di esercizio in formai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ntegrale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e semplificata, anche con ricorso a rappresentazioni grafiche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</w:pPr>
            <w:hyperlink r:id="rId4" w:history="1">
              <w:r w:rsidRPr="00E2013A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it-IT"/>
                </w:rPr>
                <w:t>sacro cuore dati economici\DATI ECONOMICI RSA SACRO CUORE ANNO 2018.pdf</w:t>
              </w:r>
            </w:hyperlink>
          </w:p>
        </w:tc>
      </w:tr>
      <w:tr w:rsidR="00E2013A" w:rsidRPr="00E2013A" w:rsidTr="00E2013A">
        <w:trPr>
          <w:trHeight w:val="9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</w:pPr>
            <w:hyperlink r:id="rId5" w:history="1">
              <w:r w:rsidRPr="00E2013A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it-IT"/>
                </w:rPr>
                <w:t>sacro cuore dati economici\DATI ECONOMICI RSA SACRO CUORE ANNO 2017.pdf</w:t>
              </w:r>
            </w:hyperlink>
          </w:p>
        </w:tc>
      </w:tr>
      <w:tr w:rsidR="00E2013A" w:rsidRPr="00E2013A" w:rsidTr="00E2013A">
        <w:trPr>
          <w:trHeight w:val="15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Provvedimenti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Provvedimenti delle p.a. socie che fissano obiettivi specifici, annuali e pluriennali, sul complesso delle spese di funzionamento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5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Provvedimenti/contratti in cui le società in controllo pubblico garantiscono il concreto perseguimento degli obiettivi specifici, annuali e pluriennali, sul complesso delle spese di funzionamento, fissati dalle p.a. socie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9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Beni immobili e gestione patrimonio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Patrimonio immobiliare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Informazioni identificative degli immobili posseduti 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detenuti,  E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' consentita la pubblicazione dei dati in forma aggregata, indicando il numero degli immobili, per particolari e adeguatamente motivate ragioni di sicurezza,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Canoni di locazione o affitto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Canoni di locazione o di affitto versati o percepiti.  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E'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consentita la pubblicazione dei dati in forma aggregata, indicando il totale dei canoni di locazione o di affitto versati o percepiti, per particolari e adeguatamente motivate ragioni di sicurezza,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5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Controlli e rilievi sull'amministrazione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br/>
              <w:t>Organo di controllo che svolge le funzioni di OIV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Nominativi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6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Attestazione  sull'assolvimento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degli obblighi di pubblicazione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Organi di revisione amministrativa e contabile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Relazioni degli organi di revisione amministrativa e contabile al bilancio di esercizio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Corte dei conti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Tutti i rilievi della Corte dei conti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ancorchè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non recepiti riguardanti l'organizzazione e l'attività delle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socità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/enti e dei loro uffici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Servizi erogati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Carta dei servizi e standard di qualità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Carta dei servizi o documento contenente gli standard di qualità dei servizi pubblici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6" w:history="1">
              <w:proofErr w:type="gramStart"/>
              <w:r w:rsidRPr="00E2013A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.CDS</w:t>
              </w:r>
              <w:proofErr w:type="gramEnd"/>
              <w:r w:rsidRPr="00E2013A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 xml:space="preserve"> RSA SACRO CUORE</w:t>
              </w:r>
            </w:hyperlink>
          </w:p>
        </w:tc>
      </w:tr>
      <w:tr w:rsidR="00E2013A" w:rsidRPr="00E2013A" w:rsidTr="00E2013A">
        <w:trPr>
          <w:trHeight w:val="114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Class action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Notizia del ricorso in giudizio proposto dai titolari di interessi giuridicamente rilevanti ed omogenei nei confronti delle amministrazioni e dei concessionari di servizio pubblico al fine di ripristinare il corretto svolgimento della funzione o la corretta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erogazione  di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 un  servizio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Nessuna causa in corso</w:t>
            </w:r>
          </w:p>
        </w:tc>
      </w:tr>
      <w:tr w:rsidR="00E2013A" w:rsidRPr="00E2013A" w:rsidTr="00E2013A">
        <w:trPr>
          <w:trHeight w:val="6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Sentenza di definizione del giudizio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6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Misure adottate in ottemperanza alla sentenza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11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Costi contabilizzati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Costi contabilizzati dei servizi erogati agli utenti, sia finali che intermedi e il relativo andamento nel tempo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</w:pPr>
            <w:hyperlink r:id="rId7" w:history="1">
              <w:r w:rsidRPr="00E2013A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it-IT"/>
                </w:rPr>
                <w:t>BILANCIO 2018\costi contabilizzati anno 2018-2017.pdf</w:t>
              </w:r>
            </w:hyperlink>
          </w:p>
        </w:tc>
      </w:tr>
      <w:tr w:rsidR="00E2013A" w:rsidRPr="00E2013A" w:rsidTr="00E2013A">
        <w:trPr>
          <w:trHeight w:val="48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Liste di attesa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Criteri di formazione delle liste di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attesa,  tempi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di attesa previsti e tempi medi effettivi di attesa per ciascuna tipologia di prestazione erogata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Per la RSA Sacro Cuore i criteri di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foramzione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della lista di attesa sono indicati nella Carta dei Servizi. Per quanto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riguarda  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tempi di permanenza in lista d'attesa non sono influenzabili da parte della Cooperativa. A livello statistico nell'anno 2018 sono entrati 7 nuovi utenti su un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toatle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di 24 posti letto. Mentre nell'anno 2017 i nuovi entrati sono stati 11 su un totale di 24 posti letto. </w:t>
            </w:r>
          </w:p>
        </w:tc>
      </w:tr>
      <w:tr w:rsidR="00E2013A" w:rsidRPr="00E2013A" w:rsidTr="00E2013A">
        <w:trPr>
          <w:trHeight w:val="27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Servizi in rete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Risultati delle rilevazioni sulla soddisfazione da parte degli utenti rispetto alla qualità dei servizi in rete resi all’utente,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anche  in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 termini  di   fruibilità,   accessibilità  e tempestività, statistiche di utilizzo dei servizi in rete.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Pagamenti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sui pagamenti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Indicatore di tempestività dei pagamenti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Indicatore dei tempi medi di pagamento relativi agli acquisti di beni, servizi, prestazioni professionali e forniture (indicatore annuale di tempestività dei pagamenti)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Indicatore trimestrale di tempestività dei pagamenti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Ammontare complessivo dei debiti e il numero delle imprese creditrici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IBAN e pagamenti informatici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Nelle richieste di pagamento: i codici IBAN identificativi del conto di pagamento, ovvero di imputazione del versamento in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Tesoreria,  tramite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i codici identificativi del pagamento da indicare obbligatoriamente per il versamento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456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Opere pubbliche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 di programmazione delle opere pubbliche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Atti di programmazione delle opere pubbliche (</w:t>
            </w:r>
            <w:r w:rsidRPr="00E2013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link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alla sotto-sezione "bandi di gara e contratti").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L'ente non realizza opere pubbliche</w:t>
            </w:r>
          </w:p>
        </w:tc>
      </w:tr>
      <w:tr w:rsidR="00E2013A" w:rsidRPr="00E2013A" w:rsidTr="00E2013A">
        <w:trPr>
          <w:trHeight w:val="205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Tempi costi e indicatori di realizzazione delle opere pubbliche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Informazioni relative ai tempi e agli indicatori di realizzazione delle opere pubbliche in corso o completate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7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Informazioni relative ai costi unitari di realizzazione delle opere pubbliche in corso o completate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132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Informazioni ambientali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Informazioni ambientali che le amministrazioni detengono ai fini delle proprie attività istituzionali: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2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1) Stato degli elementi dell'ambiente, quali l'aria, l'atmosfera, l'acqua, il suolo, il territorio, i siti naturali, compresi gli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igrotopi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, le zone costiere e marine, la diversità biologica ed i suoi elementi costitutivi, compresi gli organismi geneticamente modificati, e, inoltre, le interazioni tra questi elementi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3) Misure, anche amministrative, quali le politiche, le disposizioni legislative, i piani, i programmi, gli accordi ambientali e ogni altro atto, anche di natura amministrativa, nonché le attività che incidono o possono incidere sugli elementi e sui fattori dell'ambiente ed analisi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costi-benefìci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ed altre analisi ed ipotesi economiche usate nell'àmbito delle stesse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4) Misure o attività finalizzate a proteggere i suddetti elementi ed analisi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costi-benefìci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ed altre analisi ed ipotesi economiche usate nell'àmbito delle stesse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5) Relazioni sull'attuazione della legislazione ambientale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8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53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Altri contenuti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Prevenzione della Corruzione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Piano triennale per la prevenzione della corruzione e della trasparenza e suoi allegati, oppure le misure integrative di prevenzione della corruzione individuate ai sensi dell’articolo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1,comma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2-bis della legge n. 190 del 2012, (MOG 231)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3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Nominativo e recapito del Responsabile della prevenzione della corruzione e della trasparenza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14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Relazione del responsabile della prevenzione della corruzione recante i risultati dell’attività svolta (entro il 15 dicembre di ogni anno)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06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Atti di accertamento delle violazioni delle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disposizioni  di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cui al d.lgs. n. 39/2013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84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Altri contenuti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Accesso civico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Nome del soggetto cui è presentata la richiesta di accesso civico, 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REGOLAMENTO DI ACCESSO AGLI ATTI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collegamento con regolamento accesso agli atti </w:t>
            </w:r>
          </w:p>
        </w:tc>
      </w:tr>
      <w:tr w:rsidR="00E2013A" w:rsidRPr="00E2013A" w:rsidTr="00E2013A">
        <w:trPr>
          <w:trHeight w:val="130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Nomi Uffici competenti cui è presentata la richiesta di accesso civico,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modalità per l'esercizio di tale diritto, con indicazione dei recapiti telefonici e delle caselle di posta elettronica istituzionale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16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Nomi Uffici competenti cui è presentata la richiesta di accesso civico, </w:t>
            </w:r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 xml:space="preserve">regolamento di accesso agli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atti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,,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con indicazione dei recapiti telefonici e delle caselle di posta elettronica istituzionale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13A" w:rsidRPr="00E2013A" w:rsidTr="00E2013A">
        <w:trPr>
          <w:trHeight w:val="223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Elenco delle richieste di accesso</w:t>
            </w:r>
            <w:r w:rsidRPr="00E2013A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con indicazione dell’oggetto e della data della richiesta nonché del relativo esito con la data della decisione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Ad oggi non vi sono richieste di accesso.</w:t>
            </w:r>
          </w:p>
        </w:tc>
      </w:tr>
      <w:tr w:rsidR="00E2013A" w:rsidRPr="00E2013A" w:rsidTr="00E2013A">
        <w:trPr>
          <w:trHeight w:val="166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Altri contenuti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Accessibilità e Catalogo dei dati, metadati e banche dati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Catalogo dei dati, dei metadati definitivi e delle relative banche dati in possesso delle amministrazioni, da pubblicare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anche  tramite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link al Repertorio nazionale dei dati territoriali (www.rndt.gov.it), al  catalogo dei dati della PA e delle banche dati  www.dati.gov.it e </w:t>
            </w:r>
            <w:proofErr w:type="spell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proofErr w:type="spell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 http://basidati.agid.gov.it/catalogo gestiti da AGID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199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Regolamenti che disciplinano l'esercizio della facoltà di accesso telematico e il riutilizzo dei dati, fatti salvi i dati presenti in Anagrafe tributaria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applicabile</w:t>
            </w:r>
          </w:p>
        </w:tc>
      </w:tr>
      <w:tr w:rsidR="00E2013A" w:rsidRPr="00E2013A" w:rsidTr="00E2013A">
        <w:trPr>
          <w:trHeight w:val="31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Altri contenuti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Dati ulteriori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Dati, informazioni e documenti ulteriori che società ed </w:t>
            </w:r>
            <w:proofErr w:type="gramStart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enti  non</w:t>
            </w:r>
            <w:proofErr w:type="gramEnd"/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 xml:space="preserve"> hanno l'obbligo di pubblicare ai sensi della normativa vigente e che non sono riconducibili alle sottosezioni indicate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3A" w:rsidRPr="00E2013A" w:rsidRDefault="00E2013A" w:rsidP="00E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2013A">
              <w:rPr>
                <w:rFonts w:ascii="Times New Roman" w:eastAsia="Times New Roman" w:hAnsi="Times New Roman" w:cs="Times New Roman"/>
                <w:lang w:eastAsia="it-IT"/>
              </w:rPr>
              <w:t>Non sono disponibili dati ulteriori</w:t>
            </w:r>
          </w:p>
        </w:tc>
      </w:tr>
    </w:tbl>
    <w:p w:rsidR="00901AB2" w:rsidRDefault="00901AB2">
      <w:bookmarkStart w:id="1" w:name="_GoBack"/>
      <w:bookmarkEnd w:id="1"/>
    </w:p>
    <w:sectPr w:rsidR="00901AB2" w:rsidSect="00E201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B2"/>
    <w:rsid w:val="00901AB2"/>
    <w:rsid w:val="00E2013A"/>
    <w:rsid w:val="00E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4600"/>
  <w15:chartTrackingRefBased/>
  <w15:docId w15:val="{559BBD36-61A4-43E4-B921-D9B6AF39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tente\Desktop\TRASPARENZA%20ALBERO%20BILANCIO%20SCHEDE%20ETC\BILANCIO%202018\costi%20contabilizzati%20anno%202018-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tente\Desktop\DIREZIONE\RESIDENZE\CARTA%20DEI%20SERVIZI%20CORRETTA\CDS%20RSA%20SACRO%20CUORE.pdf" TargetMode="External"/><Relationship Id="rId5" Type="http://schemas.openxmlformats.org/officeDocument/2006/relationships/hyperlink" Target="file:///C:\Users\Utente\Desktop\TRASPARENZA%20ALBERO%20BILANCIO%20SCHEDE%20ETC\sacro%20cuore%20dati%20economici\DATI%20ECONOMICI%20RSA%20SACRO%20CUORE%20ANNO%202017.pdf" TargetMode="External"/><Relationship Id="rId4" Type="http://schemas.openxmlformats.org/officeDocument/2006/relationships/hyperlink" Target="file:///C:\Users\Utente\Desktop\TRASPARENZA%20ALBERO%20BILANCIO%20SCHEDE%20ETC\sacro%20cuore%20dati%20economici\DATI%20ECONOMICI%20RSA%20SACRO%20CUORE%20ANNO%20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2019-10-01T13:54:00Z</cp:lastPrinted>
  <dcterms:created xsi:type="dcterms:W3CDTF">2019-10-01T13:53:00Z</dcterms:created>
  <dcterms:modified xsi:type="dcterms:W3CDTF">2019-10-01T14:23:00Z</dcterms:modified>
</cp:coreProperties>
</file>